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关于部门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预算调整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情况的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根据市财政2020年度预算调整的统一安排，结合我会实际，2020年度预算调整情况如下：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一、收入类调整情况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收入共调增80.01万元，其中财政拨款收入调增80.01万元。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二、支出类调整情况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支出共调增80.01万元。其中一般公共服务支出调增74.86万元，社会保障和就业支出调增5.83万元，卫生健康支出调减0.68万元。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以上预算调整主要是因为工资调整、年度考核奖励金、大气污染及四进人员补助金、预留增人增资经费所致。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临沂市归国华侨联合会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2020年12月10日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15621"/>
    <w:rsid w:val="069D0A39"/>
    <w:rsid w:val="312A785F"/>
    <w:rsid w:val="35CC5DBA"/>
    <w:rsid w:val="3CD22386"/>
    <w:rsid w:val="49D03170"/>
    <w:rsid w:val="4FB30F04"/>
    <w:rsid w:val="4FD55F8D"/>
    <w:rsid w:val="63715621"/>
    <w:rsid w:val="72464073"/>
    <w:rsid w:val="76FF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2021-01-05T06:58:00Z</dcterms:created>
  <dc:creator>阡陌</dc:creator>
  <cp:lastModifiedBy>阡陌</cp:lastModifiedBy>
  <cp:lastPrinted>2021-01-05T07:37:09Z</cp:lastPrinted>
  <dcterms:modified xsi:type="dcterms:W3CDTF">2021-01-05T07:38:32Z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